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173" w:type="dxa"/>
        <w:tblInd w:w="-17" w:type="dxa"/>
        <w:tblCellMar>
          <w:top w:w="19" w:type="dxa"/>
          <w:left w:w="17" w:type="dxa"/>
          <w:right w:w="41" w:type="dxa"/>
        </w:tblCellMar>
        <w:tblLook w:val="04A0" w:firstRow="1" w:lastRow="0" w:firstColumn="1" w:lastColumn="0" w:noHBand="0" w:noVBand="1"/>
      </w:tblPr>
      <w:tblGrid>
        <w:gridCol w:w="1078"/>
        <w:gridCol w:w="1912"/>
        <w:gridCol w:w="704"/>
        <w:gridCol w:w="1989"/>
        <w:gridCol w:w="3496"/>
        <w:gridCol w:w="3497"/>
        <w:gridCol w:w="3497"/>
      </w:tblGrid>
      <w:tr w:rsidR="002A4A54" w:rsidRPr="00D57841" w:rsidTr="006F5819">
        <w:trPr>
          <w:trHeight w:val="548"/>
        </w:trPr>
        <w:tc>
          <w:tcPr>
            <w:tcW w:w="1078" w:type="dxa"/>
            <w:tcBorders>
              <w:top w:val="single" w:sz="3" w:space="0" w:color="000000"/>
              <w:left w:val="single" w:sz="3" w:space="0" w:color="000000"/>
              <w:bottom w:val="single" w:sz="3" w:space="0" w:color="000000"/>
              <w:right w:val="single" w:sz="3" w:space="0" w:color="000000"/>
            </w:tcBorders>
            <w:shd w:val="clear" w:color="auto" w:fill="D9E1F2"/>
          </w:tcPr>
          <w:p w:rsidR="002A4A54" w:rsidRPr="00D57841" w:rsidRDefault="002A4A54" w:rsidP="00B6318D">
            <w:pPr>
              <w:spacing w:after="0"/>
              <w:ind w:left="27"/>
              <w:rPr>
                <w:rFonts w:asciiTheme="minorEastAsia" w:eastAsiaTheme="minorEastAsia" w:hAnsiTheme="minorEastAsia"/>
                <w:sz w:val="18"/>
                <w:szCs w:val="18"/>
              </w:rPr>
            </w:pPr>
            <w:r w:rsidRPr="00D57841">
              <w:rPr>
                <w:rFonts w:asciiTheme="minorEastAsia" w:eastAsiaTheme="minorEastAsia" w:hAnsiTheme="minorEastAsia" w:hint="eastAsia"/>
                <w:sz w:val="18"/>
                <w:szCs w:val="18"/>
              </w:rPr>
              <w:t>資質・能力の三つの柱</w:t>
            </w:r>
          </w:p>
        </w:tc>
        <w:tc>
          <w:tcPr>
            <w:tcW w:w="1912" w:type="dxa"/>
            <w:tcBorders>
              <w:top w:val="single" w:sz="3" w:space="0" w:color="000000"/>
              <w:left w:val="single" w:sz="3" w:space="0" w:color="000000"/>
              <w:bottom w:val="single" w:sz="3" w:space="0" w:color="000000"/>
              <w:right w:val="single" w:sz="3" w:space="0" w:color="000000"/>
            </w:tcBorders>
            <w:shd w:val="clear" w:color="auto" w:fill="D9E1F2"/>
          </w:tcPr>
          <w:p w:rsidR="002A4A54" w:rsidRPr="00D57841" w:rsidRDefault="002A4A54" w:rsidP="00B6318D">
            <w:pPr>
              <w:spacing w:after="0"/>
              <w:ind w:left="34" w:hanging="8"/>
              <w:rPr>
                <w:rFonts w:asciiTheme="minorEastAsia" w:eastAsiaTheme="minorEastAsia" w:hAnsiTheme="minorEastAsia"/>
                <w:sz w:val="18"/>
                <w:szCs w:val="18"/>
              </w:rPr>
            </w:pPr>
            <w:r w:rsidRPr="000442BB">
              <w:rPr>
                <w:rFonts w:asciiTheme="minorEastAsia" w:eastAsiaTheme="minorEastAsia" w:hAnsiTheme="minorEastAsia" w:hint="eastAsia"/>
                <w:sz w:val="14"/>
                <w:szCs w:val="18"/>
              </w:rPr>
              <w:t>プログラミング教育を通じて目指す育成すべき資質・能力</w:t>
            </w:r>
          </w:p>
        </w:tc>
        <w:tc>
          <w:tcPr>
            <w:tcW w:w="2693" w:type="dxa"/>
            <w:gridSpan w:val="2"/>
            <w:tcBorders>
              <w:top w:val="single" w:sz="3" w:space="0" w:color="000000"/>
              <w:left w:val="single" w:sz="3" w:space="0" w:color="000000"/>
              <w:bottom w:val="single" w:sz="3" w:space="0" w:color="000000"/>
              <w:right w:val="single" w:sz="3" w:space="0" w:color="000000"/>
            </w:tcBorders>
            <w:vAlign w:val="center"/>
          </w:tcPr>
          <w:p w:rsidR="002A4A54" w:rsidRPr="006F5819" w:rsidRDefault="002A4A54" w:rsidP="006F5819">
            <w:pPr>
              <w:spacing w:after="0"/>
              <w:ind w:left="31"/>
              <w:jc w:val="center"/>
              <w:rPr>
                <w:rFonts w:asciiTheme="minorEastAsia" w:eastAsiaTheme="minorEastAsia" w:hAnsiTheme="minorEastAsia"/>
                <w:sz w:val="32"/>
                <w:szCs w:val="16"/>
              </w:rPr>
            </w:pPr>
            <w:r w:rsidRPr="006F5819">
              <w:rPr>
                <w:rFonts w:asciiTheme="minorEastAsia" w:eastAsiaTheme="minorEastAsia" w:hAnsiTheme="minorEastAsia" w:hint="eastAsia"/>
                <w:sz w:val="32"/>
                <w:szCs w:val="16"/>
              </w:rPr>
              <w:t>目標</w:t>
            </w:r>
          </w:p>
        </w:tc>
        <w:tc>
          <w:tcPr>
            <w:tcW w:w="3496" w:type="dxa"/>
            <w:tcBorders>
              <w:top w:val="single" w:sz="3" w:space="0" w:color="000000"/>
              <w:left w:val="single" w:sz="3" w:space="0" w:color="000000"/>
              <w:right w:val="single" w:sz="3" w:space="0" w:color="000000"/>
            </w:tcBorders>
            <w:vAlign w:val="center"/>
          </w:tcPr>
          <w:p w:rsidR="002A4A54" w:rsidRPr="006F5819" w:rsidRDefault="002A4A54" w:rsidP="006F5819">
            <w:pPr>
              <w:spacing w:after="0"/>
              <w:ind w:left="26"/>
              <w:jc w:val="center"/>
              <w:rPr>
                <w:rFonts w:asciiTheme="minorEastAsia" w:eastAsiaTheme="minorEastAsia" w:hAnsiTheme="minorEastAsia"/>
                <w:sz w:val="32"/>
                <w:szCs w:val="16"/>
              </w:rPr>
            </w:pPr>
            <w:r w:rsidRPr="006F5819">
              <w:rPr>
                <w:rFonts w:asciiTheme="minorEastAsia" w:eastAsiaTheme="minorEastAsia" w:hAnsiTheme="minorEastAsia" w:hint="eastAsia"/>
                <w:sz w:val="32"/>
                <w:szCs w:val="16"/>
              </w:rPr>
              <w:t>低学年</w:t>
            </w:r>
          </w:p>
        </w:tc>
        <w:tc>
          <w:tcPr>
            <w:tcW w:w="3497" w:type="dxa"/>
            <w:tcBorders>
              <w:top w:val="single" w:sz="3" w:space="0" w:color="000000"/>
              <w:left w:val="single" w:sz="3" w:space="0" w:color="000000"/>
              <w:right w:val="single" w:sz="3" w:space="0" w:color="000000"/>
            </w:tcBorders>
            <w:vAlign w:val="center"/>
          </w:tcPr>
          <w:p w:rsidR="002A4A54" w:rsidRPr="006F5819" w:rsidRDefault="002A4A54" w:rsidP="006F5819">
            <w:pPr>
              <w:spacing w:after="0"/>
              <w:ind w:left="26"/>
              <w:jc w:val="center"/>
              <w:rPr>
                <w:rFonts w:asciiTheme="minorEastAsia" w:eastAsiaTheme="minorEastAsia" w:hAnsiTheme="minorEastAsia"/>
                <w:sz w:val="32"/>
                <w:szCs w:val="16"/>
              </w:rPr>
            </w:pPr>
            <w:r w:rsidRPr="006F5819">
              <w:rPr>
                <w:rFonts w:asciiTheme="minorEastAsia" w:eastAsiaTheme="minorEastAsia" w:hAnsiTheme="minorEastAsia" w:hint="eastAsia"/>
                <w:sz w:val="32"/>
                <w:szCs w:val="16"/>
              </w:rPr>
              <w:t>中学年</w:t>
            </w:r>
          </w:p>
        </w:tc>
        <w:tc>
          <w:tcPr>
            <w:tcW w:w="3497" w:type="dxa"/>
            <w:tcBorders>
              <w:top w:val="single" w:sz="3" w:space="0" w:color="000000"/>
              <w:left w:val="single" w:sz="3" w:space="0" w:color="000000"/>
              <w:right w:val="single" w:sz="3" w:space="0" w:color="000000"/>
            </w:tcBorders>
            <w:vAlign w:val="center"/>
          </w:tcPr>
          <w:p w:rsidR="002A4A54" w:rsidRPr="006F5819" w:rsidRDefault="002A4A54" w:rsidP="006F5819">
            <w:pPr>
              <w:spacing w:after="0"/>
              <w:ind w:left="26"/>
              <w:jc w:val="center"/>
              <w:rPr>
                <w:rFonts w:asciiTheme="minorEastAsia" w:eastAsiaTheme="minorEastAsia" w:hAnsiTheme="minorEastAsia"/>
                <w:sz w:val="32"/>
                <w:szCs w:val="16"/>
              </w:rPr>
            </w:pPr>
            <w:r w:rsidRPr="006F5819">
              <w:rPr>
                <w:rFonts w:asciiTheme="minorEastAsia" w:eastAsiaTheme="minorEastAsia" w:hAnsiTheme="minorEastAsia" w:hint="eastAsia"/>
                <w:sz w:val="32"/>
                <w:szCs w:val="16"/>
              </w:rPr>
              <w:t>高学年</w:t>
            </w:r>
          </w:p>
        </w:tc>
      </w:tr>
      <w:tr w:rsidR="005D07DB" w:rsidRPr="00D57841" w:rsidTr="000442BB">
        <w:trPr>
          <w:trHeight w:val="568"/>
        </w:trPr>
        <w:tc>
          <w:tcPr>
            <w:tcW w:w="1078" w:type="dxa"/>
            <w:vMerge w:val="restart"/>
            <w:tcBorders>
              <w:top w:val="single" w:sz="3" w:space="0" w:color="000000"/>
              <w:left w:val="single" w:sz="3" w:space="0" w:color="000000"/>
              <w:bottom w:val="single" w:sz="3" w:space="0" w:color="000000"/>
              <w:right w:val="single" w:sz="3" w:space="0" w:color="000000"/>
            </w:tcBorders>
            <w:shd w:val="clear" w:color="auto" w:fill="D9E1F2"/>
            <w:vAlign w:val="center"/>
          </w:tcPr>
          <w:p w:rsidR="005D07DB" w:rsidRPr="00D57841" w:rsidRDefault="00B6318D" w:rsidP="00B6318D">
            <w:pPr>
              <w:spacing w:after="0"/>
              <w:rPr>
                <w:rFonts w:asciiTheme="minorEastAsia" w:eastAsiaTheme="minorEastAsia" w:hAnsiTheme="minorEastAsia"/>
                <w:sz w:val="18"/>
                <w:szCs w:val="18"/>
              </w:rPr>
            </w:pPr>
            <w:r w:rsidRPr="00D57841">
              <w:rPr>
                <w:rFonts w:asciiTheme="minorEastAsia" w:eastAsiaTheme="minorEastAsia" w:hAnsiTheme="minorEastAsia" w:hint="eastAsia"/>
                <w:sz w:val="18"/>
                <w:szCs w:val="18"/>
              </w:rPr>
              <w:t>知識・技能</w:t>
            </w:r>
          </w:p>
        </w:tc>
        <w:tc>
          <w:tcPr>
            <w:tcW w:w="1912" w:type="dxa"/>
            <w:vMerge w:val="restart"/>
            <w:tcBorders>
              <w:top w:val="single" w:sz="3" w:space="0" w:color="000000"/>
              <w:left w:val="single" w:sz="3" w:space="0" w:color="000000"/>
              <w:bottom w:val="single" w:sz="3" w:space="0" w:color="000000"/>
              <w:right w:val="single" w:sz="3" w:space="0" w:color="000000"/>
            </w:tcBorders>
            <w:shd w:val="clear" w:color="auto" w:fill="D9E1F2"/>
            <w:vAlign w:val="center"/>
          </w:tcPr>
          <w:p w:rsidR="005D07DB" w:rsidRPr="00D57841" w:rsidRDefault="00B6318D" w:rsidP="006F5819">
            <w:pPr>
              <w:spacing w:after="0"/>
              <w:ind w:firstLineChars="100" w:firstLine="180"/>
              <w:rPr>
                <w:rFonts w:asciiTheme="minorEastAsia" w:eastAsiaTheme="minorEastAsia" w:hAnsiTheme="minorEastAsia"/>
                <w:sz w:val="18"/>
                <w:szCs w:val="18"/>
              </w:rPr>
            </w:pPr>
            <w:r w:rsidRPr="00D57841">
              <w:rPr>
                <w:rFonts w:asciiTheme="minorEastAsia" w:eastAsiaTheme="minorEastAsia" w:hAnsiTheme="minorEastAsia" w:hint="eastAsia"/>
                <w:sz w:val="18"/>
                <w:szCs w:val="18"/>
              </w:rPr>
              <w:t>身近な生活でコンピュータが活用されていることや，問題の解決には必要な手順があることに気付くこと。</w:t>
            </w:r>
          </w:p>
        </w:tc>
        <w:tc>
          <w:tcPr>
            <w:tcW w:w="2693"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5D07DB" w:rsidRPr="000442BB" w:rsidRDefault="00B6318D" w:rsidP="006F5819">
            <w:pPr>
              <w:spacing w:after="0"/>
              <w:ind w:firstLineChars="100" w:firstLine="16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身近な生活でコンピュータが活用されていることに気付く。</w:t>
            </w:r>
          </w:p>
        </w:tc>
        <w:tc>
          <w:tcPr>
            <w:tcW w:w="3496" w:type="dxa"/>
            <w:tcBorders>
              <w:top w:val="single" w:sz="3" w:space="0" w:color="000000"/>
              <w:left w:val="single" w:sz="3" w:space="0" w:color="000000"/>
              <w:bottom w:val="single" w:sz="3" w:space="0" w:color="000000"/>
              <w:right w:val="single" w:sz="3" w:space="0" w:color="000000"/>
            </w:tcBorders>
            <w:shd w:val="clear" w:color="auto" w:fill="FFFFFF"/>
          </w:tcPr>
          <w:p w:rsidR="002A4A54"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84CAB" w:rsidRPr="000442BB">
              <w:rPr>
                <w:rFonts w:asciiTheme="minorEastAsia" w:eastAsiaTheme="minorEastAsia" w:hAnsiTheme="minorEastAsia" w:hint="eastAsia"/>
                <w:sz w:val="16"/>
                <w:szCs w:val="16"/>
              </w:rPr>
              <w:t xml:space="preserve">　身近な生活の中でコンピュータが活用されている場面</w:t>
            </w:r>
            <w:r w:rsidR="00BF021A">
              <w:rPr>
                <w:rFonts w:asciiTheme="minorEastAsia" w:eastAsiaTheme="minorEastAsia" w:hAnsiTheme="minorEastAsia" w:hint="eastAsia"/>
                <w:sz w:val="16"/>
                <w:szCs w:val="16"/>
              </w:rPr>
              <w:t>を教えてもらいながら</w:t>
            </w:r>
            <w:r w:rsidR="00B8341D" w:rsidRPr="000442BB">
              <w:rPr>
                <w:rFonts w:asciiTheme="minorEastAsia" w:eastAsiaTheme="minorEastAsia" w:hAnsiTheme="minorEastAsia" w:hint="eastAsia"/>
                <w:sz w:val="16"/>
                <w:szCs w:val="16"/>
              </w:rPr>
              <w:t>気付くこと。</w:t>
            </w:r>
          </w:p>
          <w:p w:rsidR="005D07DB" w:rsidRPr="00BF021A" w:rsidRDefault="005D07DB" w:rsidP="002A4A54">
            <w:pPr>
              <w:spacing w:after="0"/>
              <w:ind w:left="160" w:hangingChars="100" w:hanging="160"/>
              <w:rPr>
                <w:rFonts w:asciiTheme="minorEastAsia" w:eastAsiaTheme="minorEastAsia" w:hAnsiTheme="minorEastAsia"/>
                <w:sz w:val="16"/>
                <w:szCs w:val="16"/>
              </w:rPr>
            </w:pPr>
          </w:p>
        </w:tc>
        <w:tc>
          <w:tcPr>
            <w:tcW w:w="3497" w:type="dxa"/>
            <w:tcBorders>
              <w:top w:val="single" w:sz="3" w:space="0" w:color="000000"/>
              <w:left w:val="single" w:sz="3" w:space="0" w:color="000000"/>
              <w:bottom w:val="single" w:sz="3" w:space="0" w:color="000000"/>
              <w:right w:val="single" w:sz="3" w:space="0" w:color="000000"/>
            </w:tcBorders>
            <w:shd w:val="clear" w:color="auto" w:fill="FFFFFF"/>
          </w:tcPr>
          <w:p w:rsidR="005D07DB"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4691C" w:rsidRPr="000442BB">
              <w:rPr>
                <w:rFonts w:asciiTheme="minorEastAsia" w:eastAsiaTheme="minorEastAsia" w:hAnsiTheme="minorEastAsia" w:hint="eastAsia"/>
                <w:sz w:val="16"/>
                <w:szCs w:val="16"/>
              </w:rPr>
              <w:t xml:space="preserve">　身近な生活の中でコンピュータが活用されている場面を自ら見出し，その仕組みに関心を持つこと。</w:t>
            </w:r>
          </w:p>
          <w:p w:rsidR="00BF021A" w:rsidRPr="000442BB" w:rsidRDefault="00BF021A" w:rsidP="00BF021A">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0442BB">
              <w:rPr>
                <w:rFonts w:asciiTheme="minorEastAsia" w:eastAsiaTheme="minorEastAsia" w:hAnsiTheme="minorEastAsia" w:hint="eastAsia"/>
                <w:sz w:val="16"/>
                <w:szCs w:val="16"/>
              </w:rPr>
              <w:t xml:space="preserve">　コンピュータはプログラムで動いていることを知ること。</w:t>
            </w:r>
          </w:p>
          <w:p w:rsidR="00BF021A" w:rsidRPr="000442BB" w:rsidRDefault="00BF021A" w:rsidP="00BF021A">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0442BB">
              <w:rPr>
                <w:rFonts w:asciiTheme="minorEastAsia" w:eastAsiaTheme="minorEastAsia" w:hAnsiTheme="minorEastAsia" w:hint="eastAsia"/>
                <w:sz w:val="16"/>
                <w:szCs w:val="16"/>
              </w:rPr>
              <w:t xml:space="preserve">　コンピュータには得意なこととなかなかできないことがあることを知ること。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tcPr>
          <w:p w:rsidR="005D07DB"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0B5A77" w:rsidRPr="000442BB">
              <w:rPr>
                <w:rFonts w:asciiTheme="minorEastAsia" w:eastAsiaTheme="minorEastAsia" w:hAnsiTheme="minorEastAsia" w:hint="eastAsia"/>
                <w:sz w:val="16"/>
                <w:szCs w:val="16"/>
              </w:rPr>
              <w:t xml:space="preserve">　身近な生活の中でコンピュータが活用されている場面を自ら見出し，その仕組みを考えること。</w:t>
            </w:r>
          </w:p>
          <w:p w:rsidR="000B5A77"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0B5A77" w:rsidRPr="000442BB">
              <w:rPr>
                <w:rFonts w:asciiTheme="minorEastAsia" w:eastAsiaTheme="minorEastAsia" w:hAnsiTheme="minorEastAsia" w:hint="eastAsia"/>
                <w:sz w:val="16"/>
                <w:szCs w:val="16"/>
              </w:rPr>
              <w:t xml:space="preserve">　プログラムとは手順を自動化したものであることを知ること。</w:t>
            </w:r>
          </w:p>
        </w:tc>
        <w:bookmarkStart w:id="0" w:name="_GoBack"/>
        <w:bookmarkEnd w:id="0"/>
      </w:tr>
      <w:tr w:rsidR="005D07DB" w:rsidRPr="00D57841" w:rsidTr="000442BB">
        <w:trPr>
          <w:trHeight w:val="808"/>
        </w:trPr>
        <w:tc>
          <w:tcPr>
            <w:tcW w:w="0" w:type="auto"/>
            <w:vMerge/>
            <w:tcBorders>
              <w:top w:val="nil"/>
              <w:left w:val="single" w:sz="3" w:space="0" w:color="000000"/>
              <w:bottom w:val="single" w:sz="3" w:space="0" w:color="000000"/>
              <w:right w:val="single" w:sz="3" w:space="0" w:color="000000"/>
            </w:tcBorders>
          </w:tcPr>
          <w:p w:rsidR="005D07DB" w:rsidRPr="00D57841" w:rsidRDefault="005D07DB" w:rsidP="00B6318D">
            <w:pPr>
              <w:rPr>
                <w:rFonts w:asciiTheme="minorEastAsia" w:eastAsiaTheme="minorEastAsia" w:hAnsiTheme="minorEastAsia"/>
                <w:sz w:val="18"/>
                <w:szCs w:val="18"/>
              </w:rPr>
            </w:pPr>
          </w:p>
        </w:tc>
        <w:tc>
          <w:tcPr>
            <w:tcW w:w="1912" w:type="dxa"/>
            <w:vMerge/>
            <w:tcBorders>
              <w:top w:val="nil"/>
              <w:left w:val="single" w:sz="3" w:space="0" w:color="000000"/>
              <w:bottom w:val="single" w:sz="3" w:space="0" w:color="000000"/>
              <w:right w:val="single" w:sz="3" w:space="0" w:color="000000"/>
            </w:tcBorders>
          </w:tcPr>
          <w:p w:rsidR="005D07DB" w:rsidRPr="00D57841" w:rsidRDefault="005D07DB" w:rsidP="00B6318D">
            <w:pPr>
              <w:rPr>
                <w:rFonts w:asciiTheme="minorEastAsia" w:eastAsiaTheme="minorEastAsia" w:hAnsiTheme="minorEastAsia"/>
                <w:sz w:val="18"/>
                <w:szCs w:val="18"/>
              </w:rPr>
            </w:pPr>
          </w:p>
        </w:tc>
        <w:tc>
          <w:tcPr>
            <w:tcW w:w="2693"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5D07DB" w:rsidRPr="000442BB" w:rsidRDefault="00B6318D" w:rsidP="006F5819">
            <w:pPr>
              <w:spacing w:after="0"/>
              <w:ind w:firstLineChars="100" w:firstLine="16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問題解決のためにコンピュータに指示を出すには必要な手順があることに気付く。</w:t>
            </w:r>
          </w:p>
        </w:tc>
        <w:tc>
          <w:tcPr>
            <w:tcW w:w="349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8341D"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B8341D" w:rsidRPr="000442BB">
              <w:rPr>
                <w:rFonts w:asciiTheme="minorEastAsia" w:eastAsiaTheme="minorEastAsia" w:hAnsiTheme="minorEastAsia" w:hint="eastAsia"/>
                <w:sz w:val="16"/>
                <w:szCs w:val="16"/>
              </w:rPr>
              <w:t xml:space="preserve">　順序がある場面があることを知ること。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F021A" w:rsidRPr="000442BB" w:rsidRDefault="00BF021A" w:rsidP="00BF021A">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0442BB">
              <w:rPr>
                <w:rFonts w:asciiTheme="minorEastAsia" w:eastAsiaTheme="minorEastAsia" w:hAnsiTheme="minorEastAsia" w:hint="eastAsia"/>
                <w:sz w:val="16"/>
                <w:szCs w:val="16"/>
              </w:rPr>
              <w:t xml:space="preserve">　コンピュータには明確な手順を命令する必要があることを知ること。</w:t>
            </w:r>
          </w:p>
          <w:p w:rsidR="005D07DB"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4691C" w:rsidRPr="000442BB">
              <w:rPr>
                <w:rFonts w:asciiTheme="minorEastAsia" w:eastAsiaTheme="minorEastAsia" w:hAnsiTheme="minorEastAsia" w:hint="eastAsia"/>
                <w:sz w:val="16"/>
                <w:szCs w:val="16"/>
              </w:rPr>
              <w:t xml:space="preserve">　条件を満たすまで動作を続ける場面があることを知ること。(繰り返し処理)</w:t>
            </w:r>
          </w:p>
          <w:p w:rsidR="0074691C"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4691C" w:rsidRPr="000442BB">
              <w:rPr>
                <w:rFonts w:asciiTheme="minorEastAsia" w:eastAsiaTheme="minorEastAsia" w:hAnsiTheme="minorEastAsia" w:hint="eastAsia"/>
                <w:sz w:val="16"/>
                <w:szCs w:val="16"/>
              </w:rPr>
              <w:t xml:space="preserve">　順次処理や繰り返し処理を組み合わせ，コンピュータに意図した処理を行うための指示を出す体験をすること。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tcPr>
          <w:p w:rsidR="005D07DB"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0B5A77" w:rsidRPr="000442BB">
              <w:rPr>
                <w:rFonts w:asciiTheme="minorEastAsia" w:eastAsiaTheme="minorEastAsia" w:hAnsiTheme="minorEastAsia" w:hint="eastAsia"/>
                <w:sz w:val="16"/>
                <w:szCs w:val="16"/>
              </w:rPr>
              <w:t xml:space="preserve">　条件により動作が変化する場面があることを知ること。(</w:t>
            </w:r>
            <w:r w:rsidR="00675731" w:rsidRPr="000442BB">
              <w:rPr>
                <w:rFonts w:asciiTheme="minorEastAsia" w:eastAsiaTheme="minorEastAsia" w:hAnsiTheme="minorEastAsia" w:hint="eastAsia"/>
                <w:sz w:val="16"/>
                <w:szCs w:val="16"/>
              </w:rPr>
              <w:t>条件分岐処理</w:t>
            </w:r>
            <w:r w:rsidR="000B5A77" w:rsidRPr="000442BB">
              <w:rPr>
                <w:rFonts w:asciiTheme="minorEastAsia" w:eastAsiaTheme="minorEastAsia" w:hAnsiTheme="minorEastAsia" w:hint="eastAsia"/>
                <w:sz w:val="16"/>
                <w:szCs w:val="16"/>
              </w:rPr>
              <w:t>)</w:t>
            </w:r>
          </w:p>
          <w:p w:rsidR="00675731"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75731" w:rsidRPr="000442BB">
              <w:rPr>
                <w:rFonts w:asciiTheme="minorEastAsia" w:eastAsiaTheme="minorEastAsia" w:hAnsiTheme="minorEastAsia" w:hint="eastAsia"/>
                <w:sz w:val="16"/>
                <w:szCs w:val="16"/>
              </w:rPr>
              <w:t xml:space="preserve">　順次処理や繰り返し処理，条件分岐処理を組み合わせ，コンピュータに意図した処理を行わせるための指示を出す体験をすること。</w:t>
            </w:r>
          </w:p>
          <w:p w:rsidR="00675731"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75731" w:rsidRPr="000442BB">
              <w:rPr>
                <w:rFonts w:asciiTheme="minorEastAsia" w:eastAsiaTheme="minorEastAsia" w:hAnsiTheme="minorEastAsia" w:hint="eastAsia"/>
                <w:sz w:val="16"/>
                <w:szCs w:val="16"/>
              </w:rPr>
              <w:t xml:space="preserve">　センサーの存在を知り，センサーが身近な生活で活用されていることに気付くこと。</w:t>
            </w:r>
          </w:p>
        </w:tc>
      </w:tr>
      <w:tr w:rsidR="005D07DB" w:rsidRPr="00D57841" w:rsidTr="000442BB">
        <w:trPr>
          <w:trHeight w:val="611"/>
        </w:trPr>
        <w:tc>
          <w:tcPr>
            <w:tcW w:w="1078" w:type="dxa"/>
            <w:vMerge w:val="restart"/>
            <w:tcBorders>
              <w:top w:val="single" w:sz="3" w:space="0" w:color="000000"/>
              <w:left w:val="single" w:sz="3" w:space="0" w:color="000000"/>
              <w:bottom w:val="single" w:sz="3" w:space="0" w:color="000000"/>
              <w:right w:val="single" w:sz="3" w:space="0" w:color="000000"/>
            </w:tcBorders>
            <w:shd w:val="clear" w:color="auto" w:fill="D9E1F2"/>
            <w:vAlign w:val="center"/>
          </w:tcPr>
          <w:p w:rsidR="005D07DB" w:rsidRPr="00D57841" w:rsidRDefault="00D57841" w:rsidP="00B6318D">
            <w:pPr>
              <w:spacing w:after="0"/>
              <w:rPr>
                <w:rFonts w:asciiTheme="minorEastAsia" w:eastAsiaTheme="minorEastAsia" w:hAnsiTheme="minorEastAsia"/>
                <w:sz w:val="18"/>
                <w:szCs w:val="18"/>
              </w:rPr>
            </w:pPr>
            <w:r w:rsidRPr="00D57841">
              <w:rPr>
                <w:rFonts w:asciiTheme="minorEastAsia" w:eastAsiaTheme="minorEastAsia" w:hAnsiTheme="minorEastAsia" w:hint="eastAsia"/>
                <w:sz w:val="18"/>
                <w:szCs w:val="18"/>
              </w:rPr>
              <w:t>思考力・判断力・表権力等</w:t>
            </w:r>
          </w:p>
        </w:tc>
        <w:tc>
          <w:tcPr>
            <w:tcW w:w="1912" w:type="dxa"/>
            <w:vMerge w:val="restart"/>
            <w:tcBorders>
              <w:top w:val="single" w:sz="3" w:space="0" w:color="000000"/>
              <w:left w:val="single" w:sz="3" w:space="0" w:color="000000"/>
              <w:bottom w:val="single" w:sz="3" w:space="0" w:color="000000"/>
              <w:right w:val="single" w:sz="3" w:space="0" w:color="000000"/>
            </w:tcBorders>
            <w:shd w:val="clear" w:color="auto" w:fill="D9E1F2"/>
            <w:vAlign w:val="center"/>
          </w:tcPr>
          <w:p w:rsidR="005D07DB" w:rsidRPr="00D57841" w:rsidRDefault="006F5819" w:rsidP="006F5819">
            <w:pPr>
              <w:spacing w:after="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発達の段階に即して</w:t>
            </w:r>
            <w:r w:rsidR="00D57841" w:rsidRPr="00D57841">
              <w:rPr>
                <w:rFonts w:asciiTheme="minorEastAsia" w:eastAsiaTheme="minorEastAsia" w:hAnsiTheme="minorEastAsia" w:hint="eastAsia"/>
                <w:sz w:val="18"/>
                <w:szCs w:val="18"/>
              </w:rPr>
              <w:t>「プログラミング的思考」を育成すること。</w:t>
            </w:r>
          </w:p>
        </w:tc>
        <w:tc>
          <w:tcPr>
            <w:tcW w:w="70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D07DB" w:rsidRPr="000442BB" w:rsidRDefault="00B6318D" w:rsidP="00B6318D">
            <w:pPr>
              <w:spacing w:after="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論理的に考えを進める</w:t>
            </w:r>
          </w:p>
        </w:tc>
        <w:tc>
          <w:tcPr>
            <w:tcW w:w="198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D07DB" w:rsidRPr="000442BB" w:rsidRDefault="00B6318D" w:rsidP="006F5819">
            <w:pPr>
              <w:spacing w:after="0"/>
              <w:ind w:right="44" w:firstLineChars="100" w:firstLine="16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コンピュータの働きを自らの問題解決で使うために論理的推論を行うこと。</w:t>
            </w:r>
          </w:p>
        </w:tc>
        <w:tc>
          <w:tcPr>
            <w:tcW w:w="349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D07DB" w:rsidRPr="000442BB" w:rsidRDefault="006F5819" w:rsidP="00B6318D">
            <w:pPr>
              <w:spacing w:after="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B8341D" w:rsidRPr="000442BB">
              <w:rPr>
                <w:rFonts w:asciiTheme="minorEastAsia" w:eastAsiaTheme="minorEastAsia" w:hAnsiTheme="minorEastAsia" w:hint="eastAsia"/>
                <w:sz w:val="16"/>
                <w:szCs w:val="16"/>
              </w:rPr>
              <w:t>目的に合わせて自分なりに予想すること。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D07DB"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4691C" w:rsidRPr="000442BB">
              <w:rPr>
                <w:rFonts w:asciiTheme="minorEastAsia" w:eastAsiaTheme="minorEastAsia" w:hAnsiTheme="minorEastAsia" w:hint="eastAsia"/>
                <w:sz w:val="16"/>
                <w:szCs w:val="16"/>
              </w:rPr>
              <w:t xml:space="preserve">　目的や</w:t>
            </w:r>
            <w:r w:rsidR="008F3CF7" w:rsidRPr="000442BB">
              <w:rPr>
                <w:rFonts w:asciiTheme="minorEastAsia" w:eastAsiaTheme="minorEastAsia" w:hAnsiTheme="minorEastAsia" w:hint="eastAsia"/>
                <w:sz w:val="16"/>
                <w:szCs w:val="16"/>
              </w:rPr>
              <w:t>意図に合わせて見通しを立てること。</w:t>
            </w:r>
          </w:p>
          <w:p w:rsidR="008F3CF7"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8F3CF7" w:rsidRPr="000442BB">
              <w:rPr>
                <w:rFonts w:asciiTheme="minorEastAsia" w:eastAsiaTheme="minorEastAsia" w:hAnsiTheme="minorEastAsia" w:hint="eastAsia"/>
                <w:sz w:val="16"/>
                <w:szCs w:val="16"/>
              </w:rPr>
              <w:t xml:space="preserve">　物事の原因や結果を考え，その関係性に気付き，筋道立てて表現すること。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D07DB"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75731" w:rsidRPr="000442BB">
              <w:rPr>
                <w:rFonts w:asciiTheme="minorEastAsia" w:eastAsiaTheme="minorEastAsia" w:hAnsiTheme="minorEastAsia" w:hint="eastAsia"/>
                <w:sz w:val="16"/>
                <w:szCs w:val="16"/>
              </w:rPr>
              <w:t xml:space="preserve">　目的や意図に合わせて筋道立てて見通しを立てること。</w:t>
            </w:r>
          </w:p>
          <w:p w:rsidR="00675731"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75731" w:rsidRPr="000442BB">
              <w:rPr>
                <w:rFonts w:asciiTheme="minorEastAsia" w:eastAsiaTheme="minorEastAsia" w:hAnsiTheme="minorEastAsia" w:hint="eastAsia"/>
                <w:sz w:val="16"/>
                <w:szCs w:val="16"/>
              </w:rPr>
              <w:t xml:space="preserve">　物事を分析・解釈し，機能的にルールや原則を見出し，筋道立てて表現したり，他の事象にあてはめたりすること。</w:t>
            </w:r>
          </w:p>
        </w:tc>
      </w:tr>
      <w:tr w:rsidR="005D07DB" w:rsidRPr="00D57841" w:rsidTr="000442BB">
        <w:trPr>
          <w:trHeight w:val="611"/>
        </w:trPr>
        <w:tc>
          <w:tcPr>
            <w:tcW w:w="0" w:type="auto"/>
            <w:vMerge/>
            <w:tcBorders>
              <w:top w:val="nil"/>
              <w:left w:val="single" w:sz="3" w:space="0" w:color="000000"/>
              <w:bottom w:val="nil"/>
              <w:right w:val="single" w:sz="3" w:space="0" w:color="000000"/>
            </w:tcBorders>
          </w:tcPr>
          <w:p w:rsidR="005D07DB" w:rsidRPr="00D57841" w:rsidRDefault="005D07DB" w:rsidP="00B6318D">
            <w:pPr>
              <w:rPr>
                <w:rFonts w:asciiTheme="minorEastAsia" w:eastAsiaTheme="minorEastAsia" w:hAnsiTheme="minorEastAsia"/>
                <w:sz w:val="18"/>
                <w:szCs w:val="18"/>
              </w:rPr>
            </w:pPr>
          </w:p>
        </w:tc>
        <w:tc>
          <w:tcPr>
            <w:tcW w:w="1912" w:type="dxa"/>
            <w:vMerge/>
            <w:tcBorders>
              <w:top w:val="nil"/>
              <w:left w:val="single" w:sz="3" w:space="0" w:color="000000"/>
              <w:bottom w:val="nil"/>
              <w:right w:val="single" w:sz="3" w:space="0" w:color="000000"/>
            </w:tcBorders>
          </w:tcPr>
          <w:p w:rsidR="005D07DB" w:rsidRPr="00D57841" w:rsidRDefault="005D07DB" w:rsidP="00B6318D">
            <w:pPr>
              <w:rPr>
                <w:rFonts w:asciiTheme="minorEastAsia" w:eastAsiaTheme="minorEastAsia" w:hAnsiTheme="minorEastAsia"/>
                <w:sz w:val="18"/>
                <w:szCs w:val="18"/>
              </w:rPr>
            </w:pPr>
          </w:p>
        </w:tc>
        <w:tc>
          <w:tcPr>
            <w:tcW w:w="70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D07DB" w:rsidRPr="000442BB" w:rsidRDefault="00B6318D" w:rsidP="00B6318D">
            <w:pPr>
              <w:spacing w:after="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動きに分ける</w:t>
            </w:r>
          </w:p>
          <w:p w:rsidR="00B6318D" w:rsidRPr="000442BB" w:rsidRDefault="00B6318D" w:rsidP="00B6318D">
            <w:pPr>
              <w:spacing w:after="0"/>
              <w:rPr>
                <w:rFonts w:asciiTheme="minorEastAsia" w:eastAsiaTheme="minorEastAsia" w:hAnsiTheme="minorEastAsia"/>
                <w:sz w:val="16"/>
                <w:szCs w:val="16"/>
              </w:rPr>
            </w:pPr>
          </w:p>
        </w:tc>
        <w:tc>
          <w:tcPr>
            <w:tcW w:w="1989" w:type="dxa"/>
            <w:tcBorders>
              <w:top w:val="single" w:sz="3" w:space="0" w:color="000000"/>
              <w:left w:val="single" w:sz="3" w:space="0" w:color="000000"/>
              <w:bottom w:val="single" w:sz="3" w:space="0" w:color="000000"/>
              <w:right w:val="single" w:sz="3" w:space="0" w:color="000000"/>
            </w:tcBorders>
            <w:shd w:val="clear" w:color="auto" w:fill="FFFFFF"/>
          </w:tcPr>
          <w:p w:rsidR="005D07DB" w:rsidRPr="000442BB" w:rsidRDefault="00A84CAB" w:rsidP="006F5819">
            <w:pPr>
              <w:spacing w:after="0"/>
              <w:ind w:firstLineChars="100" w:firstLine="16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自分が意図する一連の活動を実験するために，大きな動き(事象)を解決可能な小さな動き(事象)に分割すること。</w:t>
            </w:r>
            <w:r w:rsidRPr="006F5819">
              <w:rPr>
                <w:rFonts w:asciiTheme="minorEastAsia" w:eastAsiaTheme="minorEastAsia" w:hAnsiTheme="minorEastAsia" w:hint="eastAsia"/>
                <w:b/>
                <w:sz w:val="16"/>
                <w:szCs w:val="16"/>
              </w:rPr>
              <w:t>分割</w:t>
            </w:r>
            <w:r w:rsidRPr="000442BB">
              <w:rPr>
                <w:rFonts w:asciiTheme="minorEastAsia" w:eastAsiaTheme="minorEastAsia" w:hAnsiTheme="minorEastAsia" w:hint="eastAsia"/>
                <w:sz w:val="16"/>
                <w:szCs w:val="16"/>
              </w:rPr>
              <w:t>。</w:t>
            </w:r>
          </w:p>
        </w:tc>
        <w:tc>
          <w:tcPr>
            <w:tcW w:w="349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D07DB"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B8341D" w:rsidRPr="000442BB">
              <w:rPr>
                <w:rFonts w:asciiTheme="minorEastAsia" w:eastAsiaTheme="minorEastAsia" w:hAnsiTheme="minorEastAsia" w:hint="eastAsia"/>
                <w:sz w:val="16"/>
                <w:szCs w:val="16"/>
              </w:rPr>
              <w:t>大きな動きはいくつかの小さな動きに分けられていることに気付くこと。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D07DB"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0B5A77" w:rsidRPr="000442BB">
              <w:rPr>
                <w:rFonts w:asciiTheme="minorEastAsia" w:eastAsiaTheme="minorEastAsia" w:hAnsiTheme="minorEastAsia" w:hint="eastAsia"/>
                <w:sz w:val="16"/>
                <w:szCs w:val="16"/>
              </w:rPr>
              <w:t>大きな動きはいくつかの小さな動きに分けられることに気付き，大きな動きを小さな動きに分けること。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D07DB"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675731" w:rsidRPr="000442BB">
              <w:rPr>
                <w:rFonts w:asciiTheme="minorEastAsia" w:eastAsiaTheme="minorEastAsia" w:hAnsiTheme="minorEastAsia" w:hint="eastAsia"/>
                <w:sz w:val="16"/>
                <w:szCs w:val="16"/>
              </w:rPr>
              <w:t>大きな物事はいくつかの小さな動きに分けられることに気付き，大きな動きを小さな動きに適切に分けること。</w:t>
            </w:r>
          </w:p>
        </w:tc>
      </w:tr>
      <w:tr w:rsidR="00B8341D" w:rsidRPr="00D57841" w:rsidTr="000442BB">
        <w:trPr>
          <w:trHeight w:val="611"/>
        </w:trPr>
        <w:tc>
          <w:tcPr>
            <w:tcW w:w="0" w:type="auto"/>
            <w:vMerge/>
            <w:tcBorders>
              <w:top w:val="nil"/>
              <w:left w:val="single" w:sz="3" w:space="0" w:color="000000"/>
              <w:bottom w:val="nil"/>
              <w:right w:val="single" w:sz="3" w:space="0" w:color="000000"/>
            </w:tcBorders>
          </w:tcPr>
          <w:p w:rsidR="00B8341D" w:rsidRPr="00D57841" w:rsidRDefault="00B8341D" w:rsidP="00B8341D">
            <w:pPr>
              <w:rPr>
                <w:rFonts w:asciiTheme="minorEastAsia" w:eastAsiaTheme="minorEastAsia" w:hAnsiTheme="minorEastAsia"/>
                <w:sz w:val="18"/>
                <w:szCs w:val="18"/>
              </w:rPr>
            </w:pPr>
          </w:p>
        </w:tc>
        <w:tc>
          <w:tcPr>
            <w:tcW w:w="1912" w:type="dxa"/>
            <w:vMerge/>
            <w:tcBorders>
              <w:top w:val="nil"/>
              <w:left w:val="single" w:sz="3" w:space="0" w:color="000000"/>
              <w:bottom w:val="nil"/>
              <w:right w:val="single" w:sz="3" w:space="0" w:color="000000"/>
            </w:tcBorders>
          </w:tcPr>
          <w:p w:rsidR="00B8341D" w:rsidRPr="00D57841" w:rsidRDefault="00B8341D" w:rsidP="00B8341D">
            <w:pPr>
              <w:rPr>
                <w:rFonts w:asciiTheme="minorEastAsia" w:eastAsiaTheme="minorEastAsia" w:hAnsiTheme="minorEastAsia"/>
                <w:sz w:val="18"/>
                <w:szCs w:val="18"/>
              </w:rPr>
            </w:pPr>
          </w:p>
        </w:tc>
        <w:tc>
          <w:tcPr>
            <w:tcW w:w="70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8341D" w:rsidRPr="000442BB" w:rsidRDefault="00B8341D" w:rsidP="00B8341D">
            <w:pPr>
              <w:spacing w:after="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記号にする</w:t>
            </w:r>
          </w:p>
        </w:tc>
        <w:tc>
          <w:tcPr>
            <w:tcW w:w="198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8341D" w:rsidRPr="000442BB" w:rsidRDefault="00B8341D" w:rsidP="006F5819">
            <w:pPr>
              <w:spacing w:after="0"/>
              <w:ind w:firstLineChars="100" w:firstLine="16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分割した動き(事象)の中から適切な側面・性質だけを選び出し，他の部分を除くこと。</w:t>
            </w:r>
            <w:r w:rsidRPr="006F5819">
              <w:rPr>
                <w:rFonts w:asciiTheme="minorEastAsia" w:eastAsiaTheme="minorEastAsia" w:hAnsiTheme="minorEastAsia" w:hint="eastAsia"/>
                <w:b/>
                <w:sz w:val="16"/>
                <w:szCs w:val="16"/>
              </w:rPr>
              <w:t>抽象化</w:t>
            </w:r>
            <w:r w:rsidRPr="000442BB">
              <w:rPr>
                <w:rFonts w:asciiTheme="minorEastAsia" w:eastAsiaTheme="minorEastAsia" w:hAnsiTheme="minorEastAsia" w:hint="eastAsia"/>
                <w:sz w:val="16"/>
                <w:szCs w:val="16"/>
              </w:rPr>
              <w:t>。</w:t>
            </w:r>
          </w:p>
        </w:tc>
        <w:tc>
          <w:tcPr>
            <w:tcW w:w="349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8341D"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74691C" w:rsidRPr="000442BB">
              <w:rPr>
                <w:rFonts w:asciiTheme="minorEastAsia" w:eastAsiaTheme="minorEastAsia" w:hAnsiTheme="minorEastAsia" w:hint="eastAsia"/>
                <w:sz w:val="16"/>
                <w:szCs w:val="16"/>
              </w:rPr>
              <w:t>目的に合わせて，必要な要素を選択肢から選ぶこと。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8341D" w:rsidRPr="000442BB" w:rsidRDefault="006F5819" w:rsidP="006F5819">
            <w:pPr>
              <w:spacing w:after="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0B5A77" w:rsidRPr="000442BB">
              <w:rPr>
                <w:rFonts w:asciiTheme="minorEastAsia" w:eastAsiaTheme="minorEastAsia" w:hAnsiTheme="minorEastAsia" w:hint="eastAsia"/>
                <w:sz w:val="16"/>
                <w:szCs w:val="16"/>
              </w:rPr>
              <w:t>目的に合わせ，必要な要素を見出すこと。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8341D"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675731" w:rsidRPr="000442BB">
              <w:rPr>
                <w:rFonts w:asciiTheme="minorEastAsia" w:eastAsiaTheme="minorEastAsia" w:hAnsiTheme="minorEastAsia" w:hint="eastAsia"/>
                <w:sz w:val="16"/>
                <w:szCs w:val="16"/>
              </w:rPr>
              <w:t>目的や意図に合わせ，必要な要素を適切に見出すこと。</w:t>
            </w:r>
          </w:p>
        </w:tc>
      </w:tr>
      <w:tr w:rsidR="00B8341D" w:rsidRPr="00D57841" w:rsidTr="000442BB">
        <w:trPr>
          <w:trHeight w:val="611"/>
        </w:trPr>
        <w:tc>
          <w:tcPr>
            <w:tcW w:w="0" w:type="auto"/>
            <w:vMerge/>
            <w:tcBorders>
              <w:top w:val="nil"/>
              <w:left w:val="single" w:sz="3" w:space="0" w:color="000000"/>
              <w:bottom w:val="nil"/>
              <w:right w:val="single" w:sz="3" w:space="0" w:color="000000"/>
            </w:tcBorders>
          </w:tcPr>
          <w:p w:rsidR="00B8341D" w:rsidRPr="00D57841" w:rsidRDefault="00B8341D" w:rsidP="00B8341D">
            <w:pPr>
              <w:rPr>
                <w:rFonts w:asciiTheme="minorEastAsia" w:eastAsiaTheme="minorEastAsia" w:hAnsiTheme="minorEastAsia"/>
                <w:sz w:val="18"/>
                <w:szCs w:val="18"/>
              </w:rPr>
            </w:pPr>
          </w:p>
        </w:tc>
        <w:tc>
          <w:tcPr>
            <w:tcW w:w="1912" w:type="dxa"/>
            <w:vMerge/>
            <w:tcBorders>
              <w:top w:val="nil"/>
              <w:left w:val="single" w:sz="3" w:space="0" w:color="000000"/>
              <w:bottom w:val="nil"/>
              <w:right w:val="single" w:sz="3" w:space="0" w:color="000000"/>
            </w:tcBorders>
          </w:tcPr>
          <w:p w:rsidR="00B8341D" w:rsidRPr="00D57841" w:rsidRDefault="00B8341D" w:rsidP="00B8341D">
            <w:pPr>
              <w:rPr>
                <w:rFonts w:asciiTheme="minorEastAsia" w:eastAsiaTheme="minorEastAsia" w:hAnsiTheme="minorEastAsia"/>
                <w:sz w:val="18"/>
                <w:szCs w:val="18"/>
              </w:rPr>
            </w:pPr>
          </w:p>
        </w:tc>
        <w:tc>
          <w:tcPr>
            <w:tcW w:w="70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8341D" w:rsidRPr="000442BB" w:rsidRDefault="00B8341D" w:rsidP="00B8341D">
            <w:pPr>
              <w:spacing w:after="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一連の活動にする</w:t>
            </w:r>
          </w:p>
        </w:tc>
        <w:tc>
          <w:tcPr>
            <w:tcW w:w="198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8341D" w:rsidRPr="000442BB" w:rsidRDefault="00B8341D" w:rsidP="006F5819">
            <w:pPr>
              <w:spacing w:after="0"/>
              <w:ind w:firstLineChars="100" w:firstLine="16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記号(動き)の類似の部分を特定して，別の場合でも利用できる内容にすること。</w:t>
            </w:r>
            <w:r w:rsidRPr="006F5819">
              <w:rPr>
                <w:rFonts w:asciiTheme="minorEastAsia" w:eastAsiaTheme="minorEastAsia" w:hAnsiTheme="minorEastAsia" w:hint="eastAsia"/>
                <w:b/>
                <w:sz w:val="16"/>
                <w:szCs w:val="16"/>
              </w:rPr>
              <w:t>一般化</w:t>
            </w:r>
            <w:r w:rsidRPr="000442BB">
              <w:rPr>
                <w:rFonts w:asciiTheme="minorEastAsia" w:eastAsiaTheme="minorEastAsia" w:hAnsiTheme="minorEastAsia" w:hint="eastAsia"/>
                <w:sz w:val="16"/>
                <w:szCs w:val="16"/>
              </w:rPr>
              <w:t>。</w:t>
            </w:r>
          </w:p>
        </w:tc>
        <w:tc>
          <w:tcPr>
            <w:tcW w:w="349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8341D"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74691C" w:rsidRPr="000442BB">
              <w:rPr>
                <w:rFonts w:asciiTheme="minorEastAsia" w:eastAsiaTheme="minorEastAsia" w:hAnsiTheme="minorEastAsia" w:hint="eastAsia"/>
                <w:sz w:val="16"/>
                <w:szCs w:val="16"/>
              </w:rPr>
              <w:t>物事の中に類似性や関係性があることに気付くこと。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8341D"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0B5A77" w:rsidRPr="000442BB">
              <w:rPr>
                <w:rFonts w:asciiTheme="minorEastAsia" w:eastAsiaTheme="minorEastAsia" w:hAnsiTheme="minorEastAsia" w:hint="eastAsia"/>
                <w:sz w:val="16"/>
                <w:szCs w:val="16"/>
              </w:rPr>
              <w:t>物事の類似性や関係性を見出し，別の場合でも利用できることを理解すること。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8341D"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675731" w:rsidRPr="000442BB">
              <w:rPr>
                <w:rFonts w:asciiTheme="minorEastAsia" w:eastAsiaTheme="minorEastAsia" w:hAnsiTheme="minorEastAsia" w:hint="eastAsia"/>
                <w:sz w:val="16"/>
                <w:szCs w:val="16"/>
              </w:rPr>
              <w:t>見出した物事の類似性や関係性を適用し，問題解決に利用すること。</w:t>
            </w:r>
          </w:p>
        </w:tc>
      </w:tr>
      <w:tr w:rsidR="0074691C" w:rsidRPr="00D57841" w:rsidTr="000442BB">
        <w:trPr>
          <w:trHeight w:val="611"/>
        </w:trPr>
        <w:tc>
          <w:tcPr>
            <w:tcW w:w="0" w:type="auto"/>
            <w:vMerge/>
            <w:tcBorders>
              <w:top w:val="nil"/>
              <w:left w:val="single" w:sz="3" w:space="0" w:color="000000"/>
              <w:bottom w:val="nil"/>
              <w:right w:val="single" w:sz="3" w:space="0" w:color="000000"/>
            </w:tcBorders>
          </w:tcPr>
          <w:p w:rsidR="0074691C" w:rsidRPr="00D57841" w:rsidRDefault="0074691C" w:rsidP="0074691C">
            <w:pPr>
              <w:rPr>
                <w:rFonts w:asciiTheme="minorEastAsia" w:eastAsiaTheme="minorEastAsia" w:hAnsiTheme="minorEastAsia"/>
                <w:sz w:val="18"/>
                <w:szCs w:val="18"/>
              </w:rPr>
            </w:pPr>
          </w:p>
        </w:tc>
        <w:tc>
          <w:tcPr>
            <w:tcW w:w="1912" w:type="dxa"/>
            <w:vMerge/>
            <w:tcBorders>
              <w:top w:val="nil"/>
              <w:left w:val="single" w:sz="3" w:space="0" w:color="000000"/>
              <w:bottom w:val="nil"/>
              <w:right w:val="single" w:sz="3" w:space="0" w:color="000000"/>
            </w:tcBorders>
          </w:tcPr>
          <w:p w:rsidR="0074691C" w:rsidRPr="00D57841" w:rsidRDefault="0074691C" w:rsidP="0074691C">
            <w:pPr>
              <w:rPr>
                <w:rFonts w:asciiTheme="minorEastAsia" w:eastAsiaTheme="minorEastAsia" w:hAnsiTheme="minorEastAsia"/>
                <w:sz w:val="18"/>
                <w:szCs w:val="18"/>
              </w:rPr>
            </w:pPr>
          </w:p>
        </w:tc>
        <w:tc>
          <w:tcPr>
            <w:tcW w:w="70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4691C" w:rsidRPr="000442BB" w:rsidRDefault="0074691C" w:rsidP="0074691C">
            <w:pPr>
              <w:spacing w:after="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組み合わせにする</w:t>
            </w:r>
          </w:p>
        </w:tc>
        <w:tc>
          <w:tcPr>
            <w:tcW w:w="198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4691C" w:rsidRPr="000442BB" w:rsidRDefault="0074691C" w:rsidP="006F5819">
            <w:pPr>
              <w:spacing w:after="0"/>
              <w:ind w:firstLineChars="100" w:firstLine="16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目的に合わせてよりよい手順を創ること。</w:t>
            </w:r>
          </w:p>
        </w:tc>
        <w:tc>
          <w:tcPr>
            <w:tcW w:w="349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4691C" w:rsidRPr="000442BB" w:rsidRDefault="006F5819" w:rsidP="0074691C">
            <w:pPr>
              <w:spacing w:after="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74691C" w:rsidRPr="000442BB">
              <w:rPr>
                <w:rFonts w:asciiTheme="minorEastAsia" w:eastAsiaTheme="minorEastAsia" w:hAnsiTheme="minorEastAsia" w:hint="eastAsia"/>
                <w:sz w:val="16"/>
                <w:szCs w:val="16"/>
              </w:rPr>
              <w:t>物事に手順があることに気付くこと。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4691C"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0B5A77" w:rsidRPr="000442BB">
              <w:rPr>
                <w:rFonts w:asciiTheme="minorEastAsia" w:eastAsiaTheme="minorEastAsia" w:hAnsiTheme="minorEastAsia" w:hint="eastAsia"/>
                <w:sz w:val="16"/>
                <w:szCs w:val="16"/>
              </w:rPr>
              <w:t>意図した活動を実現するための手順を創ること。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4691C"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675731" w:rsidRPr="000442BB">
              <w:rPr>
                <w:rFonts w:asciiTheme="minorEastAsia" w:eastAsiaTheme="minorEastAsia" w:hAnsiTheme="minorEastAsia" w:hint="eastAsia"/>
                <w:sz w:val="16"/>
                <w:szCs w:val="16"/>
              </w:rPr>
              <w:t>意図した活動を実験するために，複数の手順を適切に組み合わせてより効果的な手順を創ること。</w:t>
            </w:r>
          </w:p>
        </w:tc>
      </w:tr>
      <w:tr w:rsidR="0074691C" w:rsidRPr="00D57841" w:rsidTr="000442BB">
        <w:trPr>
          <w:trHeight w:val="611"/>
        </w:trPr>
        <w:tc>
          <w:tcPr>
            <w:tcW w:w="0" w:type="auto"/>
            <w:vMerge/>
            <w:tcBorders>
              <w:top w:val="nil"/>
              <w:left w:val="single" w:sz="3" w:space="0" w:color="000000"/>
              <w:bottom w:val="single" w:sz="3" w:space="0" w:color="000000"/>
              <w:right w:val="single" w:sz="3" w:space="0" w:color="000000"/>
            </w:tcBorders>
          </w:tcPr>
          <w:p w:rsidR="0074691C" w:rsidRPr="00D57841" w:rsidRDefault="0074691C" w:rsidP="0074691C">
            <w:pPr>
              <w:rPr>
                <w:rFonts w:asciiTheme="minorEastAsia" w:eastAsiaTheme="minorEastAsia" w:hAnsiTheme="minorEastAsia"/>
                <w:sz w:val="18"/>
                <w:szCs w:val="18"/>
              </w:rPr>
            </w:pPr>
          </w:p>
        </w:tc>
        <w:tc>
          <w:tcPr>
            <w:tcW w:w="1912" w:type="dxa"/>
            <w:vMerge/>
            <w:tcBorders>
              <w:top w:val="nil"/>
              <w:left w:val="single" w:sz="3" w:space="0" w:color="000000"/>
              <w:bottom w:val="single" w:sz="3" w:space="0" w:color="000000"/>
              <w:right w:val="single" w:sz="3" w:space="0" w:color="000000"/>
            </w:tcBorders>
          </w:tcPr>
          <w:p w:rsidR="0074691C" w:rsidRPr="00D57841" w:rsidRDefault="0074691C" w:rsidP="0074691C">
            <w:pPr>
              <w:rPr>
                <w:rFonts w:asciiTheme="minorEastAsia" w:eastAsiaTheme="minorEastAsia" w:hAnsiTheme="minorEastAsia"/>
                <w:sz w:val="18"/>
                <w:szCs w:val="18"/>
              </w:rPr>
            </w:pPr>
          </w:p>
        </w:tc>
        <w:tc>
          <w:tcPr>
            <w:tcW w:w="70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4691C" w:rsidRPr="000442BB" w:rsidRDefault="0074691C" w:rsidP="0074691C">
            <w:pPr>
              <w:spacing w:after="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振り返る</w:t>
            </w:r>
          </w:p>
        </w:tc>
        <w:tc>
          <w:tcPr>
            <w:tcW w:w="1989" w:type="dxa"/>
            <w:tcBorders>
              <w:top w:val="single" w:sz="3" w:space="0" w:color="000000"/>
              <w:left w:val="single" w:sz="3" w:space="0" w:color="000000"/>
              <w:bottom w:val="single" w:sz="3" w:space="0" w:color="000000"/>
              <w:right w:val="single" w:sz="3" w:space="0" w:color="000000"/>
            </w:tcBorders>
            <w:shd w:val="clear" w:color="auto" w:fill="FFFFFF"/>
          </w:tcPr>
          <w:p w:rsidR="0074691C" w:rsidRPr="000442BB" w:rsidRDefault="0074691C" w:rsidP="006F5819">
            <w:pPr>
              <w:spacing w:after="0"/>
              <w:ind w:right="-45" w:firstLineChars="100" w:firstLine="16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目的に対して，必要十分な評価の観点を考え，実行したことが意図した活動に近づいているかどうか評価すること。</w:t>
            </w:r>
          </w:p>
        </w:tc>
        <w:tc>
          <w:tcPr>
            <w:tcW w:w="349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4691C" w:rsidRPr="000442BB" w:rsidRDefault="006F5819" w:rsidP="0074691C">
            <w:pPr>
              <w:spacing w:after="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74691C" w:rsidRPr="000442BB">
              <w:rPr>
                <w:rFonts w:asciiTheme="minorEastAsia" w:eastAsiaTheme="minorEastAsia" w:hAnsiTheme="minorEastAsia" w:hint="eastAsia"/>
                <w:sz w:val="16"/>
                <w:szCs w:val="16"/>
              </w:rPr>
              <w:t>手順がよかったかどうかを考えること。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4691C"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0B5A77" w:rsidRPr="000442BB">
              <w:rPr>
                <w:rFonts w:asciiTheme="minorEastAsia" w:eastAsiaTheme="minorEastAsia" w:hAnsiTheme="minorEastAsia" w:hint="eastAsia"/>
                <w:sz w:val="16"/>
                <w:szCs w:val="16"/>
              </w:rPr>
              <w:t>目的や意図したことに対しての手順を考察し，問題がある場合は理由を考えたり改善方法を考えたりすること。</w:t>
            </w:r>
          </w:p>
        </w:tc>
        <w:tc>
          <w:tcPr>
            <w:tcW w:w="349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4691C" w:rsidRPr="000442BB" w:rsidRDefault="006F5819" w:rsidP="006F5819">
            <w:pPr>
              <w:spacing w:after="0"/>
              <w:ind w:left="160" w:rightChars="-15" w:right="-33"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675731" w:rsidRPr="000442BB">
              <w:rPr>
                <w:rFonts w:asciiTheme="minorEastAsia" w:eastAsiaTheme="minorEastAsia" w:hAnsiTheme="minorEastAsia" w:hint="eastAsia"/>
                <w:sz w:val="16"/>
                <w:szCs w:val="16"/>
              </w:rPr>
              <w:t>目的や意図したことに対してその手順を考察し，問題がある場合は理由を考えたり改善方法を考えたりし，さらに良い方法を追求すること。</w:t>
            </w:r>
          </w:p>
        </w:tc>
      </w:tr>
      <w:tr w:rsidR="0074691C" w:rsidRPr="00D57841" w:rsidTr="000442BB">
        <w:trPr>
          <w:trHeight w:val="755"/>
        </w:trPr>
        <w:tc>
          <w:tcPr>
            <w:tcW w:w="1078" w:type="dxa"/>
            <w:tcBorders>
              <w:top w:val="single" w:sz="3" w:space="0" w:color="000000"/>
              <w:left w:val="single" w:sz="3" w:space="0" w:color="000000"/>
              <w:bottom w:val="single" w:sz="3" w:space="0" w:color="000000"/>
              <w:right w:val="single" w:sz="3" w:space="0" w:color="000000"/>
            </w:tcBorders>
            <w:shd w:val="clear" w:color="auto" w:fill="D9E1F2"/>
            <w:vAlign w:val="center"/>
          </w:tcPr>
          <w:p w:rsidR="0074691C" w:rsidRPr="00D57841" w:rsidRDefault="0074691C" w:rsidP="0074691C">
            <w:pPr>
              <w:spacing w:after="0"/>
              <w:rPr>
                <w:rFonts w:asciiTheme="minorEastAsia" w:eastAsiaTheme="minorEastAsia" w:hAnsiTheme="minorEastAsia"/>
                <w:sz w:val="18"/>
                <w:szCs w:val="18"/>
              </w:rPr>
            </w:pPr>
            <w:r w:rsidRPr="00D57841">
              <w:rPr>
                <w:rFonts w:asciiTheme="minorEastAsia" w:eastAsiaTheme="minorEastAsia" w:hAnsiTheme="minorEastAsia" w:hint="eastAsia"/>
                <w:sz w:val="18"/>
                <w:szCs w:val="18"/>
              </w:rPr>
              <w:t>学びに向かう力・人間性等</w:t>
            </w:r>
          </w:p>
        </w:tc>
        <w:tc>
          <w:tcPr>
            <w:tcW w:w="1912" w:type="dxa"/>
            <w:tcBorders>
              <w:top w:val="single" w:sz="3" w:space="0" w:color="000000"/>
              <w:left w:val="single" w:sz="3" w:space="0" w:color="000000"/>
              <w:bottom w:val="single" w:sz="3" w:space="0" w:color="000000"/>
              <w:right w:val="single" w:sz="3" w:space="0" w:color="000000"/>
            </w:tcBorders>
            <w:shd w:val="clear" w:color="auto" w:fill="D9E1F2"/>
            <w:vAlign w:val="center"/>
          </w:tcPr>
          <w:p w:rsidR="0074691C" w:rsidRPr="00D57841" w:rsidRDefault="006F5819" w:rsidP="006F5819">
            <w:pPr>
              <w:spacing w:after="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発達の段階に即してコンピュータの働きを</w:t>
            </w:r>
            <w:r w:rsidR="0074691C" w:rsidRPr="00D57841">
              <w:rPr>
                <w:rFonts w:asciiTheme="minorEastAsia" w:eastAsiaTheme="minorEastAsia" w:hAnsiTheme="minorEastAsia" w:hint="eastAsia"/>
                <w:sz w:val="18"/>
                <w:szCs w:val="18"/>
              </w:rPr>
              <w:t>よりよい人生や社会づくりに生かそうとする態度を涵養すること。</w:t>
            </w:r>
          </w:p>
        </w:tc>
        <w:tc>
          <w:tcPr>
            <w:tcW w:w="2693"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74691C" w:rsidRPr="000442BB" w:rsidRDefault="0074691C" w:rsidP="006F5819">
            <w:pPr>
              <w:spacing w:after="0"/>
              <w:ind w:firstLineChars="100" w:firstLine="160"/>
              <w:rPr>
                <w:rFonts w:asciiTheme="minorEastAsia" w:eastAsiaTheme="minorEastAsia" w:hAnsiTheme="minorEastAsia"/>
                <w:sz w:val="16"/>
                <w:szCs w:val="16"/>
              </w:rPr>
            </w:pPr>
            <w:r w:rsidRPr="000442BB">
              <w:rPr>
                <w:rFonts w:asciiTheme="minorEastAsia" w:eastAsiaTheme="minorEastAsia" w:hAnsiTheme="minorEastAsia" w:hint="eastAsia"/>
                <w:sz w:val="16"/>
                <w:szCs w:val="16"/>
              </w:rPr>
              <w:t>コンピュータの働きを，よりよい人生や社会づくりに生かそうとする態度を涵養する。</w:t>
            </w:r>
          </w:p>
        </w:tc>
        <w:tc>
          <w:tcPr>
            <w:tcW w:w="3496" w:type="dxa"/>
            <w:tcBorders>
              <w:top w:val="single" w:sz="3" w:space="0" w:color="000000"/>
              <w:left w:val="single" w:sz="3" w:space="0" w:color="000000"/>
              <w:bottom w:val="single" w:sz="3" w:space="0" w:color="000000"/>
              <w:right w:val="single" w:sz="3" w:space="0" w:color="000000"/>
            </w:tcBorders>
            <w:shd w:val="clear" w:color="auto" w:fill="FFFFFF"/>
          </w:tcPr>
          <w:p w:rsidR="0074691C"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74691C" w:rsidRPr="000442BB">
              <w:rPr>
                <w:rFonts w:asciiTheme="minorEastAsia" w:eastAsiaTheme="minorEastAsia" w:hAnsiTheme="minorEastAsia" w:hint="eastAsia"/>
                <w:sz w:val="16"/>
                <w:szCs w:val="16"/>
              </w:rPr>
              <w:t>目的を意識して，最後までやり遂げようとする態度を養う。</w:t>
            </w:r>
          </w:p>
          <w:p w:rsidR="0074691C" w:rsidRPr="000442BB" w:rsidRDefault="006F5819" w:rsidP="006F5819">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4691C" w:rsidRPr="000442BB">
              <w:rPr>
                <w:rFonts w:asciiTheme="minorEastAsia" w:eastAsiaTheme="minorEastAsia" w:hAnsiTheme="minorEastAsia" w:hint="eastAsia"/>
                <w:sz w:val="16"/>
                <w:szCs w:val="16"/>
              </w:rPr>
              <w:t xml:space="preserve">　身近な問題の発見や解決にコンピュータが役立っていることを考えようとする態度を養う。</w:t>
            </w:r>
          </w:p>
        </w:tc>
        <w:tc>
          <w:tcPr>
            <w:tcW w:w="3497" w:type="dxa"/>
            <w:tcBorders>
              <w:top w:val="single" w:sz="3" w:space="0" w:color="000000"/>
              <w:left w:val="single" w:sz="3" w:space="0" w:color="000000"/>
              <w:bottom w:val="single" w:sz="3" w:space="0" w:color="000000"/>
              <w:right w:val="single" w:sz="3" w:space="0" w:color="000000"/>
            </w:tcBorders>
            <w:shd w:val="clear" w:color="auto" w:fill="FFFFFF"/>
          </w:tcPr>
          <w:p w:rsidR="0074691C"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0B5A77" w:rsidRPr="000442BB">
              <w:rPr>
                <w:rFonts w:asciiTheme="minorEastAsia" w:eastAsiaTheme="minorEastAsia" w:hAnsiTheme="minorEastAsia" w:hint="eastAsia"/>
                <w:sz w:val="16"/>
                <w:szCs w:val="16"/>
              </w:rPr>
              <w:t xml:space="preserve">　課題を達成するために，試行錯誤して最後までやり遂げようとする態度を養う。</w:t>
            </w:r>
          </w:p>
          <w:p w:rsidR="000B5A77" w:rsidRPr="000442BB" w:rsidRDefault="006F5819" w:rsidP="002A4A54">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0B5A77" w:rsidRPr="000442BB">
              <w:rPr>
                <w:rFonts w:asciiTheme="minorEastAsia" w:eastAsiaTheme="minorEastAsia" w:hAnsiTheme="minorEastAsia" w:hint="eastAsia"/>
                <w:sz w:val="16"/>
                <w:szCs w:val="16"/>
              </w:rPr>
              <w:t xml:space="preserve">　身近な問題の発見や解決のためにコンピュータをどのように活用できるかを考えようとする態度を養う。</w:t>
            </w:r>
          </w:p>
        </w:tc>
        <w:tc>
          <w:tcPr>
            <w:tcW w:w="3497" w:type="dxa"/>
            <w:tcBorders>
              <w:top w:val="single" w:sz="3" w:space="0" w:color="000000"/>
              <w:left w:val="single" w:sz="3" w:space="0" w:color="000000"/>
              <w:bottom w:val="single" w:sz="3" w:space="0" w:color="000000"/>
              <w:right w:val="single" w:sz="3" w:space="0" w:color="000000"/>
            </w:tcBorders>
            <w:shd w:val="clear" w:color="auto" w:fill="FFFFFF"/>
          </w:tcPr>
          <w:p w:rsidR="0074691C" w:rsidRPr="000442BB" w:rsidRDefault="006F5819" w:rsidP="000442BB">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75731" w:rsidRPr="000442BB">
              <w:rPr>
                <w:rFonts w:asciiTheme="minorEastAsia" w:eastAsiaTheme="minorEastAsia" w:hAnsiTheme="minorEastAsia" w:hint="eastAsia"/>
                <w:sz w:val="16"/>
                <w:szCs w:val="16"/>
              </w:rPr>
              <w:t xml:space="preserve">　課題を達成するために，試行錯誤して最後まで計画的にやり遂げようとする態度を養う。</w:t>
            </w:r>
          </w:p>
          <w:p w:rsidR="00675731" w:rsidRPr="000442BB" w:rsidRDefault="006F5819" w:rsidP="000442BB">
            <w:pPr>
              <w:spacing w:after="0"/>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75731" w:rsidRPr="000442BB">
              <w:rPr>
                <w:rFonts w:asciiTheme="minorEastAsia" w:eastAsiaTheme="minorEastAsia" w:hAnsiTheme="minorEastAsia" w:hint="eastAsia"/>
                <w:sz w:val="16"/>
                <w:szCs w:val="16"/>
              </w:rPr>
              <w:t xml:space="preserve">　身近な問題の発見や解決のためにコンピュータをどのように活用できるかを</w:t>
            </w:r>
            <w:r w:rsidR="00D57841" w:rsidRPr="000442BB">
              <w:rPr>
                <w:rFonts w:asciiTheme="minorEastAsia" w:eastAsiaTheme="minorEastAsia" w:hAnsiTheme="minorEastAsia" w:hint="eastAsia"/>
                <w:sz w:val="16"/>
                <w:szCs w:val="16"/>
              </w:rPr>
              <w:t>考</w:t>
            </w:r>
            <w:r w:rsidR="00675731" w:rsidRPr="000442BB">
              <w:rPr>
                <w:rFonts w:asciiTheme="minorEastAsia" w:eastAsiaTheme="minorEastAsia" w:hAnsiTheme="minorEastAsia" w:hint="eastAsia"/>
                <w:sz w:val="16"/>
                <w:szCs w:val="16"/>
              </w:rPr>
              <w:t>え</w:t>
            </w:r>
            <w:r w:rsidR="00D57841" w:rsidRPr="000442BB">
              <w:rPr>
                <w:rFonts w:asciiTheme="minorEastAsia" w:eastAsiaTheme="minorEastAsia" w:hAnsiTheme="minorEastAsia" w:hint="eastAsia"/>
                <w:sz w:val="16"/>
                <w:szCs w:val="16"/>
              </w:rPr>
              <w:t>，表現しようとする態度を養う。</w:t>
            </w:r>
          </w:p>
        </w:tc>
      </w:tr>
    </w:tbl>
    <w:p w:rsidR="005D07DB" w:rsidRPr="00D57841" w:rsidRDefault="005D07DB" w:rsidP="002A6868">
      <w:pPr>
        <w:spacing w:after="13" w:line="100" w:lineRule="exact"/>
        <w:ind w:left="-6" w:hanging="11"/>
        <w:rPr>
          <w:rFonts w:asciiTheme="minorEastAsia" w:eastAsiaTheme="minorEastAsia" w:hAnsiTheme="minorEastAsia"/>
          <w:sz w:val="18"/>
          <w:szCs w:val="18"/>
        </w:rPr>
      </w:pPr>
    </w:p>
    <w:sectPr w:rsidR="005D07DB" w:rsidRPr="00D57841" w:rsidSect="000442BB">
      <w:pgSz w:w="16838" w:h="11906" w:orient="landscape"/>
      <w:pgMar w:top="340" w:right="340" w:bottom="340" w:left="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47D" w:rsidRDefault="00B0547D" w:rsidP="00B6318D">
      <w:pPr>
        <w:spacing w:after="0" w:line="240" w:lineRule="auto"/>
      </w:pPr>
      <w:r>
        <w:separator/>
      </w:r>
    </w:p>
  </w:endnote>
  <w:endnote w:type="continuationSeparator" w:id="0">
    <w:p w:rsidR="00B0547D" w:rsidRDefault="00B0547D" w:rsidP="00B6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47D" w:rsidRDefault="00B0547D" w:rsidP="00B6318D">
      <w:pPr>
        <w:spacing w:after="0" w:line="240" w:lineRule="auto"/>
      </w:pPr>
      <w:r>
        <w:separator/>
      </w:r>
    </w:p>
  </w:footnote>
  <w:footnote w:type="continuationSeparator" w:id="0">
    <w:p w:rsidR="00B0547D" w:rsidRDefault="00B0547D" w:rsidP="00B63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DB"/>
    <w:rsid w:val="000442BB"/>
    <w:rsid w:val="000B5A77"/>
    <w:rsid w:val="002A4A54"/>
    <w:rsid w:val="002A6868"/>
    <w:rsid w:val="005D07DB"/>
    <w:rsid w:val="00671709"/>
    <w:rsid w:val="00675731"/>
    <w:rsid w:val="006A25CC"/>
    <w:rsid w:val="006B0EB9"/>
    <w:rsid w:val="006F5819"/>
    <w:rsid w:val="0074691C"/>
    <w:rsid w:val="008F3CF7"/>
    <w:rsid w:val="00A84CAB"/>
    <w:rsid w:val="00B0547D"/>
    <w:rsid w:val="00B6318D"/>
    <w:rsid w:val="00B8341D"/>
    <w:rsid w:val="00BF021A"/>
    <w:rsid w:val="00D57841"/>
    <w:rsid w:val="00EB37A7"/>
    <w:rsid w:val="00FB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2F024C-20D5-455B-9A04-600D08E4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6318D"/>
    <w:pPr>
      <w:tabs>
        <w:tab w:val="center" w:pos="4252"/>
        <w:tab w:val="right" w:pos="8504"/>
      </w:tabs>
      <w:snapToGrid w:val="0"/>
    </w:pPr>
  </w:style>
  <w:style w:type="character" w:customStyle="1" w:styleId="a4">
    <w:name w:val="ヘッダー (文字)"/>
    <w:basedOn w:val="a0"/>
    <w:link w:val="a3"/>
    <w:uiPriority w:val="99"/>
    <w:rsid w:val="00B6318D"/>
    <w:rPr>
      <w:rFonts w:ascii="Calibri" w:eastAsia="Calibri" w:hAnsi="Calibri" w:cs="Calibri"/>
      <w:color w:val="000000"/>
      <w:sz w:val="22"/>
    </w:rPr>
  </w:style>
  <w:style w:type="paragraph" w:styleId="a5">
    <w:name w:val="footer"/>
    <w:basedOn w:val="a"/>
    <w:link w:val="a6"/>
    <w:uiPriority w:val="99"/>
    <w:unhideWhenUsed/>
    <w:rsid w:val="00B6318D"/>
    <w:pPr>
      <w:tabs>
        <w:tab w:val="center" w:pos="4252"/>
        <w:tab w:val="right" w:pos="8504"/>
      </w:tabs>
      <w:snapToGrid w:val="0"/>
    </w:pPr>
  </w:style>
  <w:style w:type="character" w:customStyle="1" w:styleId="a6">
    <w:name w:val="フッター (文字)"/>
    <w:basedOn w:val="a0"/>
    <w:link w:val="a5"/>
    <w:uiPriority w:val="99"/>
    <w:rsid w:val="00B6318D"/>
    <w:rPr>
      <w:rFonts w:ascii="Calibri" w:eastAsia="Calibri" w:hAnsi="Calibri" w:cs="Calibri"/>
      <w:color w:val="000000"/>
      <w:sz w:val="22"/>
    </w:rPr>
  </w:style>
  <w:style w:type="paragraph" w:styleId="a7">
    <w:name w:val="Balloon Text"/>
    <w:basedOn w:val="a"/>
    <w:link w:val="a8"/>
    <w:uiPriority w:val="99"/>
    <w:semiHidden/>
    <w:unhideWhenUsed/>
    <w:rsid w:val="000442B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42B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PDF ã…Łã‡¡ã‡¤ã…«</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ã…Łã‡¡ã‡¤ã…«</dc:title>
  <dc:subject/>
  <dc:creator>owner</dc:creator>
  <cp:keywords/>
  <cp:lastModifiedBy>nishiharadai_es101@i-kanoyaedu.local</cp:lastModifiedBy>
  <cp:revision>2</cp:revision>
  <cp:lastPrinted>2019-10-28T23:54:00Z</cp:lastPrinted>
  <dcterms:created xsi:type="dcterms:W3CDTF">2019-12-24T09:42:00Z</dcterms:created>
  <dcterms:modified xsi:type="dcterms:W3CDTF">2019-12-24T09:42:00Z</dcterms:modified>
</cp:coreProperties>
</file>